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86" w:rsidRDefault="00793586" w:rsidP="00793586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42D">
        <w:rPr>
          <w:rFonts w:ascii="Times New Roman" w:eastAsia="Times New Roman" w:hAnsi="Times New Roman" w:cs="Times New Roman"/>
          <w:b/>
          <w:bCs/>
          <w:sz w:val="28"/>
          <w:szCs w:val="28"/>
        </w:rPr>
        <w:t>Formulář prokázání podílu příjmů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42D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142D">
        <w:rPr>
          <w:rFonts w:ascii="Times New Roman" w:eastAsia="Times New Roman" w:hAnsi="Times New Roman" w:cs="Times New Roman"/>
          <w:b/>
          <w:bCs/>
          <w:sz w:val="28"/>
          <w:szCs w:val="28"/>
        </w:rPr>
        <w:t>výnosů ze zemědělské prvovýroby pro</w:t>
      </w:r>
    </w:p>
    <w:p w:rsidR="00793586" w:rsidRPr="00E8142D" w:rsidRDefault="00793586" w:rsidP="00793586">
      <w:pPr>
        <w:tabs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42D">
        <w:rPr>
          <w:rFonts w:ascii="Times New Roman" w:eastAsia="Times New Roman" w:hAnsi="Times New Roman" w:cs="Times New Roman"/>
          <w:b/>
          <w:bCs/>
          <w:sz w:val="28"/>
          <w:szCs w:val="28"/>
        </w:rPr>
        <w:t>žadatele, který vede daňovou evidenci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za rok </w:t>
      </w:r>
      <w:r w:rsidRPr="008D1E0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2017</w:t>
      </w:r>
    </w:p>
    <w:p w:rsidR="00793586" w:rsidRPr="00E8142D" w:rsidRDefault="00793586" w:rsidP="007935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3586" w:rsidRPr="00E8142D" w:rsidRDefault="00793586" w:rsidP="00793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142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Název žadatele:</w:t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E8142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IČO:</w:t>
      </w:r>
    </w:p>
    <w:p w:rsidR="00D143A1" w:rsidRDefault="00D143A1" w:rsidP="00D143A1">
      <w:pPr>
        <w:pStyle w:val="Zkladntext"/>
        <w:ind w:left="296" w:right="1412"/>
        <w:jc w:val="both"/>
      </w:pPr>
    </w:p>
    <w:p w:rsidR="00D143A1" w:rsidRPr="00D143A1" w:rsidRDefault="00D143A1" w:rsidP="00D143A1">
      <w:pPr>
        <w:pStyle w:val="Zkladntext"/>
        <w:tabs>
          <w:tab w:val="left" w:pos="10632"/>
        </w:tabs>
        <w:ind w:right="140"/>
        <w:jc w:val="both"/>
        <w:rPr>
          <w:rFonts w:asciiTheme="minorHAnsi" w:eastAsiaTheme="minorHAnsi" w:hAnsiTheme="minorHAnsi" w:cstheme="minorBidi"/>
          <w:lang w:eastAsia="en-US" w:bidi="ar-SA"/>
        </w:rPr>
      </w:pPr>
      <w:r w:rsidRPr="00D143A1">
        <w:rPr>
          <w:rFonts w:asciiTheme="minorHAnsi" w:eastAsiaTheme="minorHAnsi" w:hAnsiTheme="minorHAnsi" w:cstheme="minorBidi"/>
          <w:lang w:eastAsia="en-US" w:bidi="ar-SA"/>
        </w:rPr>
        <w:t>Příjmy ze zemědělské prvovýroby jsou prokazovány za poslední uzav</w:t>
      </w:r>
      <w:r>
        <w:rPr>
          <w:rFonts w:asciiTheme="minorHAnsi" w:eastAsiaTheme="minorHAnsi" w:hAnsiTheme="minorHAnsi" w:cstheme="minorBidi"/>
          <w:lang w:eastAsia="en-US" w:bidi="ar-SA"/>
        </w:rPr>
        <w:t>řené účetní (zdaňovací) období. U</w:t>
      </w:r>
      <w:r w:rsidRPr="00D143A1">
        <w:rPr>
          <w:rFonts w:asciiTheme="minorHAnsi" w:eastAsiaTheme="minorHAnsi" w:hAnsiTheme="minorHAnsi" w:cstheme="minorBidi"/>
          <w:lang w:eastAsia="en-US" w:bidi="ar-SA"/>
        </w:rPr>
        <w:t>zavřeným účetním (zdaňovacím) obdobím se rozumí poslední uzavřené období bez ohledu na předložení daňového přiznání na příslušný finanční úřad a bez ohledu na to, zda bylo toto období schváleno např. valnou hromadou.</w:t>
      </w:r>
    </w:p>
    <w:p w:rsidR="00793586" w:rsidRDefault="00793586" w:rsidP="00793586">
      <w:pPr>
        <w:pStyle w:val="Zkladntext"/>
        <w:spacing w:before="70"/>
        <w:ind w:left="296"/>
      </w:pPr>
    </w:p>
    <w:p w:rsidR="00793586" w:rsidRDefault="00793586" w:rsidP="00793586">
      <w:pPr>
        <w:pStyle w:val="Zkladntext"/>
        <w:spacing w:before="70"/>
        <w:ind w:left="296"/>
      </w:pPr>
      <w:r>
        <w:t>Tabulka č. 1 Přehled obratů zemědělské prvovýroby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134"/>
        <w:gridCol w:w="6520"/>
        <w:gridCol w:w="992"/>
        <w:gridCol w:w="993"/>
      </w:tblGrid>
      <w:tr w:rsidR="00793586" w:rsidTr="00793586">
        <w:trPr>
          <w:trHeight w:val="845"/>
        </w:trPr>
        <w:tc>
          <w:tcPr>
            <w:tcW w:w="993" w:type="dxa"/>
            <w:tcBorders>
              <w:bottom w:val="double" w:sz="1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Syntetický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účet</w:t>
            </w:r>
            <w:proofErr w:type="spellEnd"/>
          </w:p>
        </w:tc>
        <w:tc>
          <w:tcPr>
            <w:tcW w:w="1134" w:type="dxa"/>
            <w:tcBorders>
              <w:bottom w:val="double" w:sz="1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spacing w:line="230" w:lineRule="exact"/>
              <w:ind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Analytick</w:t>
            </w:r>
            <w:r>
              <w:rPr>
                <w:sz w:val="20"/>
              </w:rPr>
              <w:t>ý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účet</w:t>
            </w:r>
            <w:proofErr w:type="spellEnd"/>
          </w:p>
        </w:tc>
        <w:tc>
          <w:tcPr>
            <w:tcW w:w="6520" w:type="dxa"/>
            <w:tcBorders>
              <w:bottom w:val="double" w:sz="1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ind w:left="2247" w:right="22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Specifikace</w:t>
            </w:r>
            <w:proofErr w:type="spellEnd"/>
          </w:p>
        </w:tc>
        <w:tc>
          <w:tcPr>
            <w:tcW w:w="992" w:type="dxa"/>
            <w:tcBorders>
              <w:bottom w:val="double" w:sz="1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spacing w:before="112"/>
              <w:ind w:hanging="9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Obrat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MD</w:t>
            </w:r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is.K</w:t>
            </w:r>
            <w:r>
              <w:rPr>
                <w:sz w:val="20"/>
              </w:rPr>
              <w:t>č</w:t>
            </w:r>
            <w:proofErr w:type="spellEnd"/>
          </w:p>
        </w:tc>
        <w:tc>
          <w:tcPr>
            <w:tcW w:w="993" w:type="dxa"/>
            <w:tcBorders>
              <w:bottom w:val="double" w:sz="1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spacing w:before="112"/>
              <w:ind w:right="127" w:hanging="9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Obrat</w:t>
            </w:r>
            <w:proofErr w:type="spellEnd"/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Dal </w:t>
            </w: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tis.Kč</w:t>
            </w:r>
            <w:proofErr w:type="spellEnd"/>
          </w:p>
        </w:tc>
      </w:tr>
      <w:tr w:rsidR="00793586" w:rsidTr="00793586">
        <w:trPr>
          <w:trHeight w:val="229"/>
        </w:trPr>
        <w:tc>
          <w:tcPr>
            <w:tcW w:w="993" w:type="dxa"/>
            <w:tcBorders>
              <w:top w:val="double" w:sz="1" w:space="0" w:color="000000"/>
            </w:tcBorders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top w:val="double" w:sz="1" w:space="0" w:color="000000"/>
            </w:tcBorders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tcBorders>
              <w:top w:val="double" w:sz="1" w:space="0" w:color="000000"/>
            </w:tcBorders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Účtová skupina 60 - Tržby za vlastní výkony a zboží</w:t>
            </w:r>
          </w:p>
        </w:tc>
        <w:tc>
          <w:tcPr>
            <w:tcW w:w="992" w:type="dxa"/>
            <w:tcBorders>
              <w:top w:val="double" w:sz="1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double" w:sz="1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Tržby za výrobky rostlinné výroby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Tržby za výrobky živočišné výroby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Tržby za výrobky pomocné výroby (seno, sláma, senáž aj.)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Ostatní tržby ze zemědělské prvovýroby (specifikovat)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Účtová skupina 64 - Jiné provozní výnosy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46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30" w:lineRule="exact"/>
              <w:ind w:left="117" w:right="109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Předpis uznaného</w:t>
            </w:r>
            <w:r>
              <w:rPr>
                <w:sz w:val="20"/>
                <w:lang w:val="cs-CZ"/>
              </w:rPr>
              <w:t xml:space="preserve"> </w:t>
            </w:r>
            <w:r w:rsidRPr="00793586">
              <w:rPr>
                <w:sz w:val="20"/>
                <w:lang w:val="cs-CZ"/>
              </w:rPr>
              <w:t>nároku na úhradu mank a škod v zemědělské</w:t>
            </w:r>
            <w:r w:rsidRPr="00793586">
              <w:rPr>
                <w:spacing w:val="-2"/>
                <w:sz w:val="20"/>
                <w:lang w:val="cs-CZ"/>
              </w:rPr>
              <w:t xml:space="preserve"> </w:t>
            </w:r>
            <w:r w:rsidRPr="00793586">
              <w:rPr>
                <w:sz w:val="20"/>
                <w:lang w:val="cs-CZ"/>
              </w:rPr>
              <w:t>prvovýrobě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93586" w:rsidTr="00793586">
        <w:trPr>
          <w:trHeight w:val="689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27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 xml:space="preserve">Předpis pohledávky za pojišťovnou v důsledku </w:t>
            </w:r>
            <w:r w:rsidRPr="00793586">
              <w:rPr>
                <w:sz w:val="20"/>
                <w:lang w:val="cs-CZ"/>
              </w:rPr>
              <w:t xml:space="preserve">pojistné </w:t>
            </w:r>
            <w:r w:rsidRPr="00793586">
              <w:rPr>
                <w:sz w:val="20"/>
                <w:lang w:val="cs-CZ"/>
              </w:rPr>
              <w:t>události v případě, že byla potvrzena do dne uzavírání účetních knih výše náhrady v zemědělské prvovýrobě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Provozní dotace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Tržby z prodeje základního stáda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70"/>
        </w:trPr>
        <w:tc>
          <w:tcPr>
            <w:tcW w:w="8647" w:type="dxa"/>
            <w:gridSpan w:val="3"/>
            <w:vAlign w:val="center"/>
          </w:tcPr>
          <w:p w:rsidR="00793586" w:rsidRPr="00793586" w:rsidRDefault="00793586" w:rsidP="00793586">
            <w:pPr>
              <w:pStyle w:val="TableParagraph"/>
              <w:spacing w:line="225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 xml:space="preserve">Výnosy ze zemědělské prvovýroby celkem </w:t>
            </w:r>
            <w:r w:rsidRPr="00793586">
              <w:rPr>
                <w:sz w:val="20"/>
                <w:lang w:val="cs-CZ"/>
              </w:rPr>
              <w:t>(obrat Dal – obrat MD)</w:t>
            </w:r>
          </w:p>
        </w:tc>
        <w:tc>
          <w:tcPr>
            <w:tcW w:w="1985" w:type="dxa"/>
            <w:gridSpan w:val="2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93586" w:rsidTr="00793586">
        <w:trPr>
          <w:trHeight w:val="496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ind w:left="117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Účtová skupina 58 - Změna stavu zásob vlastní činnosti zemědělské prvovýroby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Změna stavu nedokončené výroby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Změna stavu polotovarů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Změna stavu výrobků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Změna stavu zvířat v rámci zemědělské prvovýroby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Účtová skupina 58 - Aktivace zemědělské prvovýroby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Aktivace materiálu a zboží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230"/>
        </w:trPr>
        <w:tc>
          <w:tcPr>
            <w:tcW w:w="993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793586" w:rsidRDefault="00793586" w:rsidP="00F8280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0" w:type="dxa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1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Aktivace dlouhodobého hmotného majetku</w:t>
            </w:r>
          </w:p>
        </w:tc>
        <w:tc>
          <w:tcPr>
            <w:tcW w:w="992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793586" w:rsidTr="00793586">
        <w:trPr>
          <w:trHeight w:val="309"/>
        </w:trPr>
        <w:tc>
          <w:tcPr>
            <w:tcW w:w="8647" w:type="dxa"/>
            <w:gridSpan w:val="3"/>
            <w:tcBorders>
              <w:bottom w:val="single" w:sz="12" w:space="0" w:color="000000"/>
            </w:tcBorders>
            <w:vAlign w:val="center"/>
          </w:tcPr>
          <w:p w:rsidR="00793586" w:rsidRPr="00793586" w:rsidRDefault="00793586" w:rsidP="00793586">
            <w:pPr>
              <w:pStyle w:val="TableParagraph"/>
              <w:spacing w:before="36"/>
              <w:ind w:left="117"/>
              <w:rPr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 xml:space="preserve">Náklady ze zemědělské prvovýroby celkem </w:t>
            </w:r>
            <w:r w:rsidRPr="00793586">
              <w:rPr>
                <w:sz w:val="20"/>
                <w:lang w:val="cs-CZ"/>
              </w:rPr>
              <w:t>(obrat Dal – obrat MD)</w:t>
            </w:r>
          </w:p>
        </w:tc>
        <w:tc>
          <w:tcPr>
            <w:tcW w:w="1985" w:type="dxa"/>
            <w:gridSpan w:val="2"/>
            <w:tcBorders>
              <w:bottom w:val="single" w:sz="12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93586" w:rsidTr="00793586">
        <w:trPr>
          <w:trHeight w:val="541"/>
        </w:trPr>
        <w:tc>
          <w:tcPr>
            <w:tcW w:w="86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93586" w:rsidRPr="00793586" w:rsidRDefault="00793586" w:rsidP="00793586">
            <w:pPr>
              <w:pStyle w:val="TableParagraph"/>
              <w:spacing w:before="37"/>
              <w:ind w:left="107"/>
              <w:rPr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 xml:space="preserve">Zemědělská prvovýroba celkem </w:t>
            </w:r>
            <w:r w:rsidRPr="00793586">
              <w:rPr>
                <w:sz w:val="20"/>
                <w:lang w:val="cs-CZ"/>
              </w:rPr>
              <w:t>(Výnosy ze zemědělské prvovýroby celkem + Náklady ze zemědělské prvovýroby celkem)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3586" w:rsidRDefault="00793586" w:rsidP="007935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793586" w:rsidRDefault="00793586" w:rsidP="00793586">
      <w:pPr>
        <w:spacing w:after="0" w:line="240" w:lineRule="auto"/>
      </w:pPr>
    </w:p>
    <w:p w:rsidR="00793586" w:rsidRDefault="00793586" w:rsidP="00793586">
      <w:pPr>
        <w:spacing w:after="0" w:line="240" w:lineRule="auto"/>
      </w:pPr>
      <w:r w:rsidRPr="00793586">
        <w:t>Žadatel dále specifikuje celkové výnosy z podnikání, tj. výnosy celkem za účtovou třídu 6 – Výnosy.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6"/>
        <w:gridCol w:w="2229"/>
      </w:tblGrid>
      <w:tr w:rsidR="00793586" w:rsidRPr="00793586" w:rsidTr="00793586">
        <w:trPr>
          <w:trHeight w:val="348"/>
        </w:trPr>
        <w:tc>
          <w:tcPr>
            <w:tcW w:w="8416" w:type="dxa"/>
            <w:tcBorders>
              <w:bottom w:val="double" w:sz="1" w:space="0" w:color="000000"/>
            </w:tcBorders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0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Specifikace celkových výnosů</w:t>
            </w:r>
          </w:p>
        </w:tc>
        <w:tc>
          <w:tcPr>
            <w:tcW w:w="2229" w:type="dxa"/>
            <w:tcBorders>
              <w:bottom w:val="double" w:sz="1" w:space="0" w:color="000000"/>
            </w:tcBorders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650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(tis. Kč)</w:t>
            </w:r>
          </w:p>
        </w:tc>
      </w:tr>
      <w:tr w:rsidR="00793586" w:rsidRPr="00793586" w:rsidTr="00793586">
        <w:trPr>
          <w:trHeight w:val="383"/>
        </w:trPr>
        <w:tc>
          <w:tcPr>
            <w:tcW w:w="8416" w:type="dxa"/>
            <w:tcBorders>
              <w:top w:val="double" w:sz="1" w:space="0" w:color="000000"/>
              <w:bottom w:val="single" w:sz="12" w:space="0" w:color="000000"/>
            </w:tcBorders>
            <w:vAlign w:val="center"/>
          </w:tcPr>
          <w:p w:rsidR="00793586" w:rsidRPr="00793586" w:rsidRDefault="00793586" w:rsidP="00793586">
            <w:pPr>
              <w:pStyle w:val="TableParagraph"/>
              <w:spacing w:line="212" w:lineRule="exact"/>
              <w:ind w:left="107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Celkové výnosy z podnikání</w:t>
            </w:r>
          </w:p>
        </w:tc>
        <w:tc>
          <w:tcPr>
            <w:tcW w:w="2229" w:type="dxa"/>
            <w:tcBorders>
              <w:top w:val="double" w:sz="1" w:space="0" w:color="000000"/>
              <w:bottom w:val="single" w:sz="12" w:space="0" w:color="000000"/>
            </w:tcBorders>
            <w:vAlign w:val="center"/>
          </w:tcPr>
          <w:p w:rsidR="00793586" w:rsidRPr="00793586" w:rsidRDefault="00793586" w:rsidP="0079358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</w:tbl>
    <w:p w:rsidR="00793586" w:rsidRPr="00793586" w:rsidRDefault="00793586" w:rsidP="00793586">
      <w:pPr>
        <w:spacing w:after="0" w:line="240" w:lineRule="auto"/>
      </w:pPr>
    </w:p>
    <w:p w:rsidR="00793586" w:rsidRPr="00793586" w:rsidRDefault="00793586" w:rsidP="00793586">
      <w:pPr>
        <w:pStyle w:val="Zkladntext"/>
        <w:ind w:right="140"/>
        <w:rPr>
          <w:sz w:val="20"/>
        </w:rPr>
      </w:pPr>
      <w:r w:rsidRPr="00793586">
        <w:rPr>
          <w:sz w:val="20"/>
        </w:rPr>
        <w:t xml:space="preserve">Pokud žadatel vykazuje výnosy z provozu bioplynové stanice, vyplní tabulku č. 3 Specifikace </w:t>
      </w:r>
      <w:r w:rsidRPr="00793586">
        <w:rPr>
          <w:sz w:val="20"/>
        </w:rPr>
        <w:t>výnosů z BPS</w:t>
      </w:r>
      <w:r w:rsidRPr="00793586">
        <w:rPr>
          <w:sz w:val="20"/>
        </w:rPr>
        <w:t>.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1727"/>
        <w:gridCol w:w="3921"/>
        <w:gridCol w:w="1413"/>
        <w:gridCol w:w="1486"/>
      </w:tblGrid>
      <w:tr w:rsidR="00793586" w:rsidRPr="00793586" w:rsidTr="00D143A1">
        <w:trPr>
          <w:trHeight w:val="484"/>
        </w:trPr>
        <w:tc>
          <w:tcPr>
            <w:tcW w:w="2085" w:type="dxa"/>
            <w:tcBorders>
              <w:bottom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spacing w:before="112"/>
              <w:ind w:left="177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Syntetický účet</w:t>
            </w:r>
          </w:p>
        </w:tc>
        <w:tc>
          <w:tcPr>
            <w:tcW w:w="1727" w:type="dxa"/>
            <w:tcBorders>
              <w:bottom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spacing w:before="112"/>
              <w:ind w:left="112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Analytický účet</w:t>
            </w:r>
          </w:p>
        </w:tc>
        <w:tc>
          <w:tcPr>
            <w:tcW w:w="3921" w:type="dxa"/>
            <w:tcBorders>
              <w:bottom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spacing w:before="112"/>
              <w:ind w:left="108" w:right="102"/>
              <w:jc w:val="center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Specifikace</w:t>
            </w:r>
          </w:p>
        </w:tc>
        <w:tc>
          <w:tcPr>
            <w:tcW w:w="1413" w:type="dxa"/>
            <w:tcBorders>
              <w:bottom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spacing w:line="230" w:lineRule="exact"/>
              <w:ind w:left="298" w:right="176" w:hanging="94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Obrat MD (tis. Kč)</w:t>
            </w:r>
          </w:p>
        </w:tc>
        <w:tc>
          <w:tcPr>
            <w:tcW w:w="1486" w:type="dxa"/>
            <w:tcBorders>
              <w:bottom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spacing w:line="230" w:lineRule="exact"/>
              <w:ind w:left="362" w:right="248" w:hanging="89"/>
              <w:rPr>
                <w:b/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>Obrat Dal (tis. Kč)</w:t>
            </w:r>
          </w:p>
        </w:tc>
      </w:tr>
      <w:tr w:rsidR="00793586" w:rsidRPr="00793586" w:rsidTr="00D143A1">
        <w:trPr>
          <w:trHeight w:val="373"/>
        </w:trPr>
        <w:tc>
          <w:tcPr>
            <w:tcW w:w="2085" w:type="dxa"/>
            <w:tcBorders>
              <w:top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727" w:type="dxa"/>
            <w:tcBorders>
              <w:top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3921" w:type="dxa"/>
            <w:tcBorders>
              <w:top w:val="double" w:sz="1" w:space="0" w:color="000000"/>
            </w:tcBorders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08" w:right="106"/>
              <w:jc w:val="center"/>
              <w:rPr>
                <w:sz w:val="20"/>
                <w:lang w:val="cs-CZ"/>
              </w:rPr>
            </w:pPr>
            <w:r w:rsidRPr="00793586">
              <w:rPr>
                <w:sz w:val="20"/>
                <w:lang w:val="cs-CZ"/>
              </w:rPr>
              <w:t>Výnosy z provozu bioplynové stanice</w:t>
            </w:r>
          </w:p>
        </w:tc>
        <w:tc>
          <w:tcPr>
            <w:tcW w:w="1413" w:type="dxa"/>
            <w:tcBorders>
              <w:top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486" w:type="dxa"/>
            <w:tcBorders>
              <w:top w:val="double" w:sz="1" w:space="0" w:color="000000"/>
            </w:tcBorders>
          </w:tcPr>
          <w:p w:rsidR="00793586" w:rsidRPr="00793586" w:rsidRDefault="00793586" w:rsidP="00F8280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  <w:tr w:rsidR="00793586" w:rsidRPr="00793586" w:rsidTr="00D143A1">
        <w:trPr>
          <w:trHeight w:val="417"/>
        </w:trPr>
        <w:tc>
          <w:tcPr>
            <w:tcW w:w="7733" w:type="dxa"/>
            <w:gridSpan w:val="3"/>
            <w:vAlign w:val="center"/>
          </w:tcPr>
          <w:p w:rsidR="00793586" w:rsidRPr="00793586" w:rsidRDefault="00793586" w:rsidP="00793586">
            <w:pPr>
              <w:pStyle w:val="TableParagraph"/>
              <w:spacing w:line="210" w:lineRule="exact"/>
              <w:ind w:left="107"/>
              <w:rPr>
                <w:sz w:val="20"/>
                <w:lang w:val="cs-CZ"/>
              </w:rPr>
            </w:pPr>
            <w:r w:rsidRPr="00793586">
              <w:rPr>
                <w:b/>
                <w:sz w:val="20"/>
                <w:lang w:val="cs-CZ"/>
              </w:rPr>
              <w:t xml:space="preserve">Výnosy z provozu bioplynové stanice </w:t>
            </w:r>
            <w:r w:rsidRPr="00793586">
              <w:rPr>
                <w:sz w:val="20"/>
                <w:lang w:val="cs-CZ"/>
              </w:rPr>
              <w:t>(obrat Dal – obrat MD)</w:t>
            </w:r>
          </w:p>
        </w:tc>
        <w:tc>
          <w:tcPr>
            <w:tcW w:w="2899" w:type="dxa"/>
            <w:gridSpan w:val="2"/>
          </w:tcPr>
          <w:p w:rsidR="00793586" w:rsidRPr="00793586" w:rsidRDefault="00793586" w:rsidP="00F82806">
            <w:pPr>
              <w:pStyle w:val="TableParagraph"/>
              <w:rPr>
                <w:rFonts w:ascii="Times New Roman"/>
                <w:sz w:val="16"/>
                <w:lang w:val="cs-CZ"/>
              </w:rPr>
            </w:pPr>
          </w:p>
        </w:tc>
      </w:tr>
    </w:tbl>
    <w:p w:rsidR="00793586" w:rsidRDefault="00793586" w:rsidP="00793586">
      <w:pPr>
        <w:spacing w:after="0" w:line="240" w:lineRule="auto"/>
      </w:pPr>
    </w:p>
    <w:p w:rsidR="00793586" w:rsidRDefault="00793586" w:rsidP="00793586">
      <w:pPr>
        <w:spacing w:after="0" w:line="240" w:lineRule="auto"/>
      </w:pPr>
      <w:r>
        <w:t>Z výše uvedených dat je následně vypočten podíl příjmů ze zemědělské prvovýroby dle níže uvedeného vzorce.</w:t>
      </w:r>
    </w:p>
    <w:p w:rsidR="00793586" w:rsidRDefault="00793586" w:rsidP="00793586">
      <w:pPr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1"/>
        <w:gridCol w:w="1709"/>
      </w:tblGrid>
      <w:tr w:rsidR="00793586" w:rsidRPr="00E8142D" w:rsidTr="00D143A1">
        <w:trPr>
          <w:trHeight w:val="758"/>
        </w:trPr>
        <w:tc>
          <w:tcPr>
            <w:tcW w:w="9011" w:type="dxa"/>
            <w:tcBorders>
              <w:right w:val="single" w:sz="18" w:space="0" w:color="auto"/>
            </w:tcBorders>
            <w:shd w:val="clear" w:color="auto" w:fill="auto"/>
          </w:tcPr>
          <w:p w:rsidR="00793586" w:rsidRPr="00793586" w:rsidRDefault="00793586" w:rsidP="00793586">
            <w:pPr>
              <w:pStyle w:val="Zkladntext"/>
              <w:spacing w:before="101"/>
              <w:ind w:left="322" w:right="26"/>
              <w:jc w:val="center"/>
              <w:rPr>
                <w:rFonts w:ascii="Cambria Math" w:eastAsia="Cambria Math" w:hAnsi="Cambria Math"/>
              </w:rPr>
            </w:pPr>
            <w:r w:rsidRPr="00E81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Podíl příjmů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ze zemědělské prvovýroby </w:t>
            </w:r>
            <w:r w:rsidRPr="00E814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= </w:t>
            </w:r>
            <w:r>
              <w:rPr>
                <w:rFonts w:ascii="Cambria Math" w:eastAsia="Cambria Math" w:hAnsi="Cambria Math"/>
              </w:rPr>
              <w:t>𝑍𝑒𝑚ě𝑑ě𝑙𝑠𝑘á 𝑝𝑟𝑣𝑜𝑣ý𝑟𝑜𝑏𝑎 𝑐𝑒𝑙𝑘𝑒𝑚</w:t>
            </w:r>
            <w:r>
              <w:rPr>
                <w:rFonts w:ascii="Cambria Math" w:eastAsia="Cambria Math" w:hAnsi="Cambria Math"/>
              </w:rPr>
              <w:t xml:space="preserve"> / (</w:t>
            </w:r>
            <w:r w:rsidRPr="00793586">
              <w:rPr>
                <w:rFonts w:ascii="Cambria Math" w:eastAsia="Cambria Math" w:hAnsi="Cambria Math"/>
              </w:rPr>
              <w:t xml:space="preserve">𝐶𝑒𝑙𝑘𝑜𝑣é 𝑣ý𝑛𝑜𝑠𝑦 𝑧 𝑝𝑜𝑑𝑛𝑖𝑘á𝑛í − 𝑉ý𝑛𝑜𝑠𝑦 𝑧 </w:t>
            </w:r>
            <w:r>
              <w:rPr>
                <w:rFonts w:ascii="Cambria Math" w:eastAsia="Cambria Math" w:hAnsi="Cambria Math"/>
              </w:rPr>
              <w:t>BPS</w:t>
            </w:r>
            <w:r w:rsidRPr="00793586">
              <w:rPr>
                <w:rFonts w:ascii="Cambria Math" w:eastAsia="Cambria Math" w:hAnsi="Cambria Math"/>
              </w:rPr>
              <w:t xml:space="preserve"> + 𝑁á𝑘𝑙𝑎𝑑𝑦 𝑧𝑒 𝑧𝑒𝑚. 𝑝𝑟𝑣𝑜𝑣ý𝑟𝑜𝑏𝑦 𝑐𝑒𝑙𝑘𝑒𝑚</w:t>
            </w:r>
            <w:r>
              <w:rPr>
                <w:rFonts w:ascii="Cambria Math" w:eastAsia="Cambria Math" w:hAnsi="Cambria Math"/>
              </w:rPr>
              <w:t>)</w:t>
            </w:r>
          </w:p>
        </w:tc>
        <w:tc>
          <w:tcPr>
            <w:tcW w:w="1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93586" w:rsidRPr="00E8142D" w:rsidRDefault="00793586" w:rsidP="00F828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586" w:rsidRDefault="00793586" w:rsidP="00793586">
      <w:pPr>
        <w:spacing w:after="0" w:line="240" w:lineRule="auto"/>
      </w:pPr>
    </w:p>
    <w:p w:rsidR="00D143A1" w:rsidRPr="00D143A1" w:rsidRDefault="00D143A1" w:rsidP="00793586">
      <w:pPr>
        <w:spacing w:after="0" w:line="240" w:lineRule="auto"/>
        <w:rPr>
          <w:b/>
        </w:rPr>
      </w:pPr>
      <w:bookmarkStart w:id="0" w:name="_GoBack"/>
      <w:r w:rsidRPr="00D143A1">
        <w:rPr>
          <w:b/>
        </w:rPr>
        <w:t>Na následující straně je uvedeno, co je a co není zemědělská prvovýroba.</w:t>
      </w:r>
    </w:p>
    <w:bookmarkEnd w:id="0"/>
    <w:p w:rsidR="00793586" w:rsidRPr="00793586" w:rsidRDefault="00793586" w:rsidP="00793586">
      <w:pPr>
        <w:spacing w:after="0" w:line="240" w:lineRule="auto"/>
        <w:rPr>
          <w:b/>
        </w:rPr>
      </w:pPr>
      <w:r w:rsidRPr="00793586">
        <w:rPr>
          <w:b/>
        </w:rPr>
        <w:lastRenderedPageBreak/>
        <w:t>Zemědělská prvovýroba pro účely prokázání příjmů ze zemědělské prvovýroby zahrnuje: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 xml:space="preserve">rostlinnou výrobu včetně </w:t>
      </w:r>
      <w:r>
        <w:t>chmelařství, ovocnářství</w:t>
      </w:r>
      <w:r>
        <w:t>, vinařství, pěstování zeleniny,</w:t>
      </w:r>
      <w:r>
        <w:t xml:space="preserve"> </w:t>
      </w:r>
      <w:r>
        <w:t>hub, okrasných květin, dřevin, léčivých a aromatických rostlin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živočišnou výrobu, tj. chov hospodářských a jiných zvířat a živočichů za účelem výroby potravin pro lidskou výživu, surovin pro další využití či zpracování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prodej,</w:t>
      </w:r>
      <w:r>
        <w:tab/>
        <w:t>úprava</w:t>
      </w:r>
      <w:r>
        <w:tab/>
        <w:t>produktu</w:t>
      </w:r>
      <w:r>
        <w:t xml:space="preserve"> </w:t>
      </w:r>
      <w:r>
        <w:t>k</w:t>
      </w:r>
      <w:r>
        <w:t> </w:t>
      </w:r>
      <w:r>
        <w:t>prvnímu</w:t>
      </w:r>
      <w:r>
        <w:t xml:space="preserve"> </w:t>
      </w:r>
      <w:r>
        <w:t>prodeji</w:t>
      </w:r>
      <w:r>
        <w:t xml:space="preserve"> </w:t>
      </w:r>
      <w:r>
        <w:t>a</w:t>
      </w:r>
      <w:r>
        <w:t xml:space="preserve"> </w:t>
      </w:r>
      <w:r>
        <w:t>zpracování</w:t>
      </w:r>
      <w:r>
        <w:t xml:space="preserve"> vlastní produkce ze zemědělské </w:t>
      </w:r>
      <w:r>
        <w:t>výroby (zpracování vlastního masa, mléka apod.)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výrobu školkařských výpěstků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produkci zvířat a jejich genetického potenciálu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výrobu osiv a sadby a genetického materiálu rostlin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provozní dotace (kromě dotací poskytovaných PGRLF, a.s.</w:t>
      </w:r>
      <w:r>
        <w:t xml:space="preserve"> </w:t>
      </w:r>
      <w:r>
        <w:t>a vratky spotřební daně</w:t>
      </w:r>
      <w:r>
        <w:t xml:space="preserve"> </w:t>
      </w:r>
      <w:r>
        <w:t>při nákupu nafty a bionafty - tzv. zelená nafta)</w:t>
      </w:r>
    </w:p>
    <w:p w:rsidR="00793586" w:rsidRDefault="00793586" w:rsidP="00793586">
      <w:pPr>
        <w:spacing w:after="0" w:line="240" w:lineRule="auto"/>
      </w:pPr>
    </w:p>
    <w:p w:rsidR="00793586" w:rsidRPr="00793586" w:rsidRDefault="00793586" w:rsidP="00793586">
      <w:pPr>
        <w:spacing w:after="0" w:line="240" w:lineRule="auto"/>
        <w:rPr>
          <w:b/>
        </w:rPr>
      </w:pPr>
      <w:r w:rsidRPr="00793586">
        <w:rPr>
          <w:b/>
        </w:rPr>
        <w:t>Zemědělská prvovýroba pro účely prokázání příjmů ze zemědělské prvovýroby nezahrnuje: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prodej, úpravu a zpracování surovin, které nepocházejí z vlastní zemědělské produkce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</w:r>
      <w:r w:rsidRPr="00793586">
        <w:rPr>
          <w:b/>
        </w:rPr>
        <w:t>poskytování prací,</w:t>
      </w:r>
      <w:r w:rsidRPr="00793586">
        <w:rPr>
          <w:b/>
        </w:rPr>
        <w:t xml:space="preserve"> </w:t>
      </w:r>
      <w:r w:rsidRPr="00793586">
        <w:rPr>
          <w:b/>
        </w:rPr>
        <w:t>výkonů</w:t>
      </w:r>
      <w:r w:rsidRPr="00793586">
        <w:rPr>
          <w:b/>
        </w:rPr>
        <w:t xml:space="preserve"> </w:t>
      </w:r>
      <w:r w:rsidRPr="00793586">
        <w:rPr>
          <w:b/>
        </w:rPr>
        <w:t>nebo</w:t>
      </w:r>
      <w:r w:rsidRPr="00793586">
        <w:rPr>
          <w:b/>
        </w:rPr>
        <w:t xml:space="preserve"> </w:t>
      </w:r>
      <w:r w:rsidRPr="00793586">
        <w:rPr>
          <w:b/>
        </w:rPr>
        <w:t>služeb</w:t>
      </w:r>
      <w:r>
        <w:t>,</w:t>
      </w:r>
      <w:r>
        <w:t xml:space="preserve"> </w:t>
      </w:r>
      <w:r>
        <w:t>které</w:t>
      </w:r>
      <w:r>
        <w:t xml:space="preserve"> </w:t>
      </w:r>
      <w:r>
        <w:t>souvisejí</w:t>
      </w:r>
      <w:r>
        <w:t xml:space="preserve"> </w:t>
      </w:r>
      <w:r>
        <w:t>se</w:t>
      </w:r>
      <w:r>
        <w:t xml:space="preserve"> </w:t>
      </w:r>
      <w:r>
        <w:t>zemědělskou</w:t>
      </w:r>
      <w:r>
        <w:t xml:space="preserve"> </w:t>
      </w:r>
      <w:r>
        <w:t>výrobou</w:t>
      </w:r>
      <w:r>
        <w:t xml:space="preserve"> </w:t>
      </w:r>
      <w:r>
        <w:t>a při kterých se využijí prostředky nebo zařízení sloužící zemědělskému podnikateli k zemědělské výrobě (včetně chovu zvířat, kdy jedinou tržbou/příjmem žadatele je tržba/příjem za poskytnutou službu – např. ustájení, pastevní odchov apod.)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</w:r>
      <w:r w:rsidRPr="00793586">
        <w:rPr>
          <w:b/>
        </w:rPr>
        <w:t>hospodaření na lesních pozemcích</w:t>
      </w:r>
      <w:r>
        <w:t xml:space="preserve"> vlastních nebo pronajatých v souladu s lesním hospodářským plánem, tj. obnova, ochrana, výchova a těžba lesních porostů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chov ryb, rybolov a pěstování rostlin na vlastní nebo pronajaté vodní ploše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  <w:t>chov laboratorních, domácích a zoologických zvířat, dále krmení, lov a odchyt zvěře</w:t>
      </w:r>
      <w:r>
        <w:t xml:space="preserve"> </w:t>
      </w:r>
      <w:r>
        <w:t>a odchov</w:t>
      </w:r>
      <w:r>
        <w:t xml:space="preserve"> </w:t>
      </w:r>
      <w:r>
        <w:t>divokých</w:t>
      </w:r>
      <w:r>
        <w:t xml:space="preserve"> </w:t>
      </w:r>
      <w:r>
        <w:t>zvířat.</w:t>
      </w:r>
      <w:r>
        <w:t xml:space="preserve"> </w:t>
      </w:r>
      <w:r>
        <w:t>Do</w:t>
      </w:r>
      <w:r>
        <w:t xml:space="preserve"> </w:t>
      </w:r>
      <w:r>
        <w:t>těchto</w:t>
      </w:r>
      <w:r>
        <w:t xml:space="preserve"> </w:t>
      </w:r>
      <w:r>
        <w:t>skupin</w:t>
      </w:r>
      <w:r>
        <w:t xml:space="preserve"> </w:t>
      </w:r>
      <w:r>
        <w:t>patří</w:t>
      </w:r>
      <w:r>
        <w:t xml:space="preserve"> </w:t>
      </w:r>
      <w:r>
        <w:t>např.</w:t>
      </w:r>
      <w:r>
        <w:t xml:space="preserve"> </w:t>
      </w:r>
      <w:r>
        <w:t>různé</w:t>
      </w:r>
      <w:r>
        <w:t xml:space="preserve"> </w:t>
      </w:r>
      <w:r>
        <w:t>druhy</w:t>
      </w:r>
      <w:r>
        <w:t xml:space="preserve"> </w:t>
      </w:r>
      <w:r>
        <w:t>zvířat</w:t>
      </w:r>
      <w:r>
        <w:t xml:space="preserve"> </w:t>
      </w:r>
      <w:r>
        <w:t>pro laboratorní účely, dále akvarijní a terarijní živočichové, domácí a okrasné ptactvo, psi (včetně plemen ovčáckých, služebních a loveckých) a ostatní tržní domácí zvířata, lovná zvěř a zoologická zvířata.</w:t>
      </w:r>
    </w:p>
    <w:p w:rsidR="00793586" w:rsidRDefault="00793586" w:rsidP="00793586">
      <w:pPr>
        <w:spacing w:after="0" w:line="240" w:lineRule="auto"/>
        <w:ind w:left="709" w:hanging="425"/>
      </w:pPr>
      <w:r>
        <w:t>-</w:t>
      </w:r>
      <w:r>
        <w:tab/>
      </w:r>
      <w:r w:rsidRPr="00793586">
        <w:rPr>
          <w:b/>
        </w:rPr>
        <w:t>investiční dotace, dotace poskytované PGRLF, a.s. a vratky spotřební daně při nákupu nafty a bionafty - tzv. zelená nafta</w:t>
      </w:r>
    </w:p>
    <w:sectPr w:rsidR="00793586" w:rsidSect="007935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6"/>
    <w:rsid w:val="00553F00"/>
    <w:rsid w:val="00793586"/>
    <w:rsid w:val="00D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5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7935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3586"/>
    <w:rPr>
      <w:rFonts w:ascii="Arial" w:eastAsia="Arial" w:hAnsi="Arial" w:cs="Arial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7935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35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7935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3586"/>
    <w:rPr>
      <w:rFonts w:ascii="Arial" w:eastAsia="Arial" w:hAnsi="Arial" w:cs="Arial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7935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AE19-E205-49B8-B5C4-444C6BC7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Bojo</dc:creator>
  <cp:lastModifiedBy>Bojo</cp:lastModifiedBy>
  <cp:revision>1</cp:revision>
  <dcterms:created xsi:type="dcterms:W3CDTF">2018-09-01T22:19:00Z</dcterms:created>
  <dcterms:modified xsi:type="dcterms:W3CDTF">2018-09-01T22:42:00Z</dcterms:modified>
</cp:coreProperties>
</file>